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75" w:rsidRP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B00B75">
        <w:rPr>
          <w:rFonts w:ascii="Times New Roman" w:hAnsi="Times New Roman"/>
          <w:b/>
          <w:sz w:val="36"/>
          <w:szCs w:val="36"/>
          <w:lang w:val="uk-UA" w:eastAsia="ru-RU"/>
        </w:rPr>
        <w:t>Механічні властивості твердих тіл</w:t>
      </w:r>
    </w:p>
    <w:p w:rsid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Що відбудеться якщо:</w:t>
      </w:r>
    </w:p>
    <w:p w:rsidR="00B00B75" w:rsidRPr="007146F5" w:rsidRDefault="00B00B75" w:rsidP="00B00B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на пружинний амортизатор подіяти з певною силою? (під дією сили пружина стиснеться (розтягнеться) – її довжина зменшиться (збільшиться))</w:t>
      </w:r>
    </w:p>
    <w:p w:rsidR="00B00B75" w:rsidRPr="007146F5" w:rsidRDefault="00B00B75" w:rsidP="00B00B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пом’яти в руці шматочок пластиліну? (зміниться його форма) </w:t>
      </w:r>
    </w:p>
    <w:p w:rsidR="00B00B75" w:rsidRPr="007146F5" w:rsidRDefault="00B00B75" w:rsidP="00B00B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натягти тятиву лука? (одночасно зміняться її розміри та форма)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Деформація. Види деформації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Деформація – це зміна форми та (або) розмірів тіла.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1" w:name="_Hlk519196504"/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• Яка причина виникнення деформації?</w:t>
      </w:r>
    </w:p>
    <w:bookmarkEnd w:id="1"/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Причина виникнення деформації полягає в тому, що під дією сил, прикладених до тіла, його різні частини рухаються по-різному й у результаті частини тіла зміщуються одна відносно одної.</w:t>
      </w:r>
    </w:p>
    <w:p w:rsid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63080">
        <w:rPr>
          <w:rFonts w:ascii="Times New Roman" w:eastAsia="MyriadPro-Regular" w:hAnsi="Times New Roman"/>
          <w:sz w:val="28"/>
          <w:szCs w:val="28"/>
          <w:lang w:val="uk-UA" w:eastAsia="ru-RU"/>
        </w:rPr>
        <w:t>Якщо після припинення дії зовнішніх сил тіло повністю відновило свої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46308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форму і розміри, то воно зазнало </w:t>
      </w:r>
      <w:r w:rsidRPr="0046308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пружної деформації</w:t>
      </w:r>
      <w:r w:rsidRPr="00463080">
        <w:rPr>
          <w:rFonts w:ascii="Times New Roman" w:eastAsia="MyriadPro-Regular" w:hAnsi="Times New Roman"/>
          <w:sz w:val="28"/>
          <w:szCs w:val="28"/>
          <w:lang w:val="uk-UA" w:eastAsia="ru-RU"/>
        </w:rPr>
        <w:t>; якщо форма і розміри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46308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не відновилися, тіло зазнало </w:t>
      </w:r>
      <w:r w:rsidRPr="0046308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пластичної деформації.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 характером зміщення частин тіла одна відносно одної розрізняють деформації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розтягнення, стиснення, зсуву, вигину, кручення.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bookmarkStart w:id="2" w:name="_Hlk519104697"/>
    </w:p>
    <w:bookmarkEnd w:id="2"/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Деформація розтягнення.</w:t>
      </w: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Якщо ж тіло розтягувати, то під дією руки відстань між шарами молекул збільшиться і тіло знову змінить свої розміри. Її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зазнають троси, канати, ланцюги в піднімальних пристроях, стяжки між вагонами.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Деформація стиснення.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При стисканні твердого тіла зміщуються в напрямку дії сили шари його молекул, у результаті чого розміри тіла зменшуються. Її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зазнають стовпи, ніжки столів і стільців, фундаменти будинків.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Деформація зсуву.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bookmarkStart w:id="3" w:name="_Hlk534734827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Шари молекул зсунуться один відносно одного, а саме тіло змінює свою форму</w:t>
      </w:r>
      <w:bookmarkEnd w:id="3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Її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зазнають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цвяхи та болти, які скріплюють частини різних конструкцій; тканина, яку розрізають ножицями.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Деформація вигину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(водночас деформація розтягнення та стиснення). На опуклому боці тіла відстань між шарами молекул збільшується, тобто ця частина тіла зазнає деформації розтягнення. На ввігнутому боці тіла відстань між шарами молекул зменшується – ця частина тіла зазнає деформації стиснення. Середні шари не зазнають ані розтягнення, ані стиснення, а отже, не впливають на міцність конструкції. Саме тому зазвичай їх видаляють, замінюючи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стрижні порожніми трубами (рама велосипеда, трубчасті кінцівки кісток, трубчасті стебла злаків).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Деформація кручення.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bookmarkStart w:id="4" w:name="_Hlk534734880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Зсув шарів молекул відбуватиметься неоднаково – кожний шар буде повертатися на певний кут відносно іншого шару</w:t>
      </w:r>
      <w:bookmarkEnd w:id="4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Її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зазнають вали всіх машин, гвинти, ключі, викрутки.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45519FF8" wp14:editId="6772B4B9">
            <wp:extent cx="5472143" cy="2708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59" cy="271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Механічна напруга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68C0FEC" wp14:editId="364BAE19">
            <wp:simplePos x="0" y="0"/>
            <wp:positionH relativeFrom="column">
              <wp:posOffset>3885565</wp:posOffset>
            </wp:positionH>
            <wp:positionV relativeFrom="paragraph">
              <wp:posOffset>718820</wp:posOffset>
            </wp:positionV>
            <wp:extent cx="2736215" cy="13335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Видовження </w:t>
      </w:r>
      <m:oMath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∆x</m:t>
        </m:r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це фізична величина, яка дорівнює зміні довжини тіла при деформації розтягнення або стиснення: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∆x=x-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Відносне видовження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ε</m:t>
        </m:r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це фізична величина, яка дорівнює відношенню видовження </w:t>
      </w:r>
      <m:oMath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∆x</m:t>
        </m:r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до початкової довжини тіла </w:t>
      </w:r>
      <m:oMath>
        <m:sSub>
          <m:sSub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: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ε=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або   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ε=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∙100%</m:t>
          </m:r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062B500" wp14:editId="35C67227">
            <wp:simplePos x="0" y="0"/>
            <wp:positionH relativeFrom="margin">
              <wp:align>right</wp:align>
            </wp:positionH>
            <wp:positionV relativeFrom="paragraph">
              <wp:posOffset>8043</wp:posOffset>
            </wp:positionV>
            <wp:extent cx="1565275" cy="6991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Механічна напруга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σ</m:t>
        </m:r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це фізична величина, яка характеризує деформоване тіло й дорівнює відношенню модуля сили пружності </w:t>
      </w:r>
      <m:oMath>
        <m:sSub>
          <m:sSub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пруж</m:t>
            </m:r>
          </m:sub>
        </m:sSub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до площі </w:t>
      </w:r>
      <m:oMath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S</m:t>
        </m:r>
      </m:oMath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поперечного перерізу тіла.</w:t>
      </w:r>
    </w:p>
    <w:tbl>
      <w:tblPr>
        <w:tblpPr w:leftFromText="180" w:rightFromText="180" w:vertAnchor="text" w:horzAnchor="margin" w:tblpXSpec="right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</w:tblGrid>
      <w:tr w:rsidR="00B00B75" w:rsidRPr="007146F5" w:rsidTr="00B00B75">
        <w:trPr>
          <w:trHeight w:val="17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bookmarkStart w:id="5" w:name="_Hlk534313835"/>
            <w:r w:rsidRPr="007146F5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Модулі Юнга для деяких матеріалів</w:t>
            </w:r>
          </w:p>
        </w:tc>
      </w:tr>
      <w:tr w:rsidR="00B00B75" w:rsidRPr="007146F5" w:rsidTr="00B00B75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FFFFFF" w:themeColor="background1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color w:val="FFFFFF" w:themeColor="background1"/>
                <w:sz w:val="28"/>
                <w:szCs w:val="28"/>
                <w:lang w:val="uk-UA" w:eastAsia="ru-RU"/>
              </w:rPr>
              <w:t>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FFFFFF" w:themeColor="background1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color w:val="FFFFFF" w:themeColor="background1"/>
                <w:sz w:val="28"/>
                <w:szCs w:val="28"/>
                <w:lang w:val="uk-UA" w:eastAsia="ru-RU"/>
              </w:rPr>
              <w:t>Модуль Юнга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color w:val="FFFFFF" w:themeColor="background1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 w:eastAsia="ru-RU"/>
                  </w:rPr>
                  <m:t>E, ×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val="uk-UA" w:eastAsia="ru-RU"/>
                      </w:rPr>
                      <m:t>9</m:t>
                    </m:r>
                  </m:sup>
                </m:sSup>
                <m: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val="uk-UA" w:eastAsia="ru-RU"/>
                  </w:rPr>
                  <m:t>Па</m:t>
                </m:r>
              </m:oMath>
            </m:oMathPara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Алюміній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63–70</w:t>
            </w:r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Бетон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15–40</w:t>
            </w:r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Каучук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7,9ꞏ10</w:t>
            </w:r>
            <w:r w:rsidRPr="007146F5">
              <w:rPr>
                <w:rFonts w:ascii="Times New Roman" w:eastAsia="MyriadPro-Regular" w:hAnsi="Times New Roman"/>
                <w:sz w:val="28"/>
                <w:szCs w:val="28"/>
                <w:vertAlign w:val="superscript"/>
                <w:lang w:val="uk-UA" w:eastAsia="ru-RU"/>
              </w:rPr>
              <w:t>–3</w:t>
            </w:r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Мідь (лиття)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82</w:t>
            </w:r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Срібло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82,7</w:t>
            </w:r>
          </w:p>
        </w:tc>
      </w:tr>
      <w:tr w:rsidR="00B00B75" w:rsidRPr="007146F5" w:rsidTr="00B00B75">
        <w:trPr>
          <w:trHeight w:val="2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Скло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49–78</w:t>
            </w:r>
          </w:p>
        </w:tc>
      </w:tr>
      <w:tr w:rsidR="00B00B75" w:rsidRPr="007146F5" w:rsidTr="00B00B75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Чавун ковкий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150</w:t>
            </w:r>
          </w:p>
        </w:tc>
      </w:tr>
    </w:tbl>
    <w:bookmarkEnd w:id="5"/>
    <w:p w:rsidR="00B00B75" w:rsidRPr="007146F5" w:rsidRDefault="00B00B75" w:rsidP="00B00B75">
      <w:pPr>
        <w:autoSpaceDE w:val="0"/>
        <w:autoSpaceDN w:val="0"/>
        <w:adjustRightInd w:val="0"/>
        <w:ind w:firstLine="397"/>
        <w:jc w:val="both"/>
        <w:rPr>
          <w:rFonts w:ascii="Cambria Math" w:eastAsia="MyriadPro-Regular" w:hAnsi="Cambria Math"/>
          <w:i/>
          <w:sz w:val="28"/>
          <w:szCs w:val="28"/>
          <w:lang w:val="uk-UA" w:eastAsia="ru-RU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[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]=Па=1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den>
          </m:f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Закон Гука: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У випадку малих пружних деформацій розтягнення та стиснення механічна напруга прямо пропорційна відносному видовженню.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σ=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E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ε</m:t>
              </m:r>
            </m:e>
          </m:d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[E]=Па</m:t>
        </m:r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Модуль Юнга характеризує пружні властивості матеріалу; його визначають експериментально та фіксують у таблицях.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Жорсткість тіла залежить від пружних властивостей матеріалу, з якого виготовлене тіло, і від геометричних параметрів тіла.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σ=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      σ=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E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ε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ε=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S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=E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∆x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пруж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ES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=k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</m:t>
              </m:r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             =&gt;         k=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ES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</m:oMath>
      </m:oMathPara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9162201" wp14:editId="0123400E">
            <wp:simplePos x="0" y="0"/>
            <wp:positionH relativeFrom="margin">
              <wp:posOffset>46355</wp:posOffset>
            </wp:positionH>
            <wp:positionV relativeFrom="paragraph">
              <wp:posOffset>94827</wp:posOffset>
            </wp:positionV>
            <wp:extent cx="2531110" cy="2165985"/>
            <wp:effectExtent l="0" t="0" r="2540" b="5715"/>
            <wp:wrapSquare wrapText="bothSides"/>
            <wp:docPr id="8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685B235-3418-4F14-ACF6-75109E8B0A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a16="http://schemas.microsoft.com/office/drawing/2014/main" id="{7685B235-3418-4F14-ACF6-75109E8B0A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6EDEC"/>
                        </a:clrFrom>
                        <a:clrTo>
                          <a:srgbClr val="D6E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Діаграма напруг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пр</m:t>
            </m:r>
          </m:sub>
        </m:sSub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межа пропорційності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найбільша напруга, за якої виконується закон Гука.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пруж</m:t>
            </m:r>
          </m:sub>
        </m:sSub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межа пружності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найбільша напруга, за якої деформація залишається пружною.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пл</m:t>
            </m:r>
          </m:sub>
        </m:sSub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межа плинності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напруга, за якої зразок починає подовжуватися без збільшення навантаження.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σ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міц</m:t>
            </m:r>
          </m:sub>
        </m:sSub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межа міцності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найбільша напруга, у разі перевищення якої зразок руйнується.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OAB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ділянка пружних деформацій;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BC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ділянка пластичних деформацій; 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CD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ділянка плинності матеріалу; </w:t>
      </w: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EK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 руйнування зразка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Пружність, пластичність, крихкість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Пружні матеріали: 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матеріали, які виявляють пружні властивості за порівняно великих деформацій або за досить тривалої дії.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Пластичні матеріали: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матеріали, в яких пружна деформація переходить у пластичну за незначних деформацій.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Крихкі матеріали: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Матеріали, які руйнуються за дуже малих деформацій і майже не виявляють пластичних властивостей.</w:t>
      </w:r>
    </w:p>
    <w:p w:rsid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Розв’язування задач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6" w:name="_Hlk534735609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1. Яка механічна напруга виникає у рейці з площею поперечного перерізу 8 см</w:t>
      </w:r>
      <w:r w:rsidRPr="007146F5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під дією сили 100 Н?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S=8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Н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За ІІІ законом Ньютона: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=F</m:t>
              </m:r>
            </m:oMath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[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σ]=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=Па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</m:t>
                    </m:r>
                  </m:e>
                </m:d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σ=125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кПа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777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bookmarkStart w:id="7" w:name="_Hlk534735618"/>
      <w:bookmarkEnd w:id="6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2. Визначте механічну напругу, яка виникла у сталевому тросі, якщо його відносне видовження становить 0,003. Модуль Юнга вважайте рівним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206 ГПа.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182E67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ε=3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</m:oMath>
            </m:oMathPara>
          </w:p>
          <w:p w:rsidR="00B00B75" w:rsidRPr="00182E67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E=206 ГПа=2,06∙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[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σ]=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Па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2,06∙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=618∙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</m:t>
                    </m:r>
                  </m:e>
                </m:d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σ=618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МПа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406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bookmarkEnd w:id="7"/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3.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Яка механічна напруга виникає в шийці гака підйомного крана під час рівномірного піднімання вантажу масою 6 т? Діаметр шийки гака 28 мм.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m=6 т=6∙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кг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d=28 мм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g=10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За третім законом Ньютона, тіла діють з однаковими за модулем силами: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B00B75" w:rsidRPr="00182E67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=Па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4∙6∙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3,14∙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28∙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-3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(Па)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σ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8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Па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777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4.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Циліндр, площа перерізу якого 2 см</w:t>
      </w:r>
      <w:r w:rsidRPr="007146F5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, під дією вантажу масою 1,05 т стиснувся на 0,025 % початкової довжини. Визначте модуль Юнга матеріалу, з якого виготовлено брусок.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S=2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m=1,05 т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=1,05∙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кг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ε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0,025 %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-4</m:t>
                    </m:r>
                  </m:sup>
                </m:sSup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g=10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ε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[E]=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=Па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1,05∙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(Па)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E=210 ГПа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509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5. На скількох палях діаметром 12 см можна розмістити платформу масою 300 т, якщо допустима напруга на стиск становить 10 МПа?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d=12 см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m=300 т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кг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σ=10 МПа=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g=10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За третім законом Ньютона, тіла діють з однаковими за модулем силами: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S=N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π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4mg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=&gt;      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σπ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∙3,14∙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-2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≈26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N≈26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777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N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8" w:name="_Hlk534736686"/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Для виготовлення попередньо напруженого залізобетону сталеві арматурні стрижні довжиною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=6 м</m:t>
        </m:r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діаметром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d=20 мм</m:t>
        </m:r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видовжують на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∆x=2 мм</m:t>
        </m:r>
      </m:oMath>
      <w:r w:rsidRPr="007146F5">
        <w:rPr>
          <w:rFonts w:ascii="Times New Roman" w:eastAsia="MyriadPro-Regular" w:hAnsi="Times New Roman"/>
          <w:sz w:val="28"/>
          <w:szCs w:val="28"/>
          <w:lang w:val="uk-UA" w:eastAsia="ru-RU"/>
        </w:rPr>
        <w:t>. Яку силу для цього необхідно прикласти? Модуль Юнга вважайте рівним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220 ГПа.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00B75" w:rsidRPr="007146F5" w:rsidTr="00B00B75">
        <w:trPr>
          <w:trHeight w:val="811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м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d=20 мм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∆x=2 мм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E=220 ГПа=2,2∙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Па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σ=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пруж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π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    σ=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ε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=E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&gt;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E∆x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4x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Па∙м∙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2,2∙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∙3,14∙</m:t>
                        </m:r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-2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4∙6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(Н)</m:t>
                </m:r>
              </m:oMath>
            </m:oMathPara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7146F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F≈23 кН</m:t>
              </m:r>
            </m:oMath>
            <w:r w:rsidRPr="007146F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00B75" w:rsidRPr="007146F5" w:rsidTr="00B00B75">
        <w:trPr>
          <w:trHeight w:val="777"/>
        </w:trPr>
        <w:tc>
          <w:tcPr>
            <w:tcW w:w="2694" w:type="dxa"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 - ?</m:t>
                </m:r>
              </m:oMath>
            </m:oMathPara>
          </w:p>
        </w:tc>
        <w:tc>
          <w:tcPr>
            <w:tcW w:w="7008" w:type="dxa"/>
            <w:vMerge/>
          </w:tcPr>
          <w:p w:rsidR="00B00B75" w:rsidRPr="007146F5" w:rsidRDefault="00B00B75" w:rsidP="00B00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bookmarkEnd w:id="8"/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Що таке деформація?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Назвіть види деформації. За яких умов вони виникають? Наведіть приклади.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Дайте характеристику механічної напруги як фізичної величини.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Подайте два формулювання закону Гука. За яких умов виконується цей закон?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Що характеризує модуль Юнга? Якою є його одиниця в СІ?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У чому полягає явище плинності матеріалу?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Що таке межа міцності? Чим пружні матеріали відрізняються від пластичних? від крихких?</w:t>
      </w: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146F5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B00B75" w:rsidRPr="00B00B75" w:rsidRDefault="00B00B75" w:rsidP="00B00B7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9" w:name="_GoBack"/>
      <w:r w:rsidRPr="00B00B75"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 § 35, Вправа № 35 (3)</w:t>
      </w:r>
      <w:bookmarkEnd w:id="9"/>
    </w:p>
    <w:bookmarkEnd w:id="0"/>
    <w:p w:rsidR="00B00B75" w:rsidRPr="007146F5" w:rsidRDefault="00B00B75" w:rsidP="00B00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35631E" w:rsidRPr="00B00B75" w:rsidRDefault="0035631E">
      <w:pPr>
        <w:rPr>
          <w:lang w:val="uk-UA"/>
        </w:rPr>
      </w:pPr>
    </w:p>
    <w:sectPr w:rsidR="0035631E" w:rsidRPr="00B00B75" w:rsidSect="00B00B75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Content>
      <w:p w:rsidR="00B00B75" w:rsidRDefault="00B00B7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14" w:rsidRPr="004F1814">
          <w:rPr>
            <w:noProof/>
            <w:lang w:val="uk-UA"/>
          </w:rPr>
          <w:t>4</w:t>
        </w:r>
        <w:r>
          <w:fldChar w:fldCharType="end"/>
        </w:r>
      </w:p>
    </w:sdtContent>
  </w:sdt>
  <w:p w:rsidR="00B00B75" w:rsidRDefault="00B00B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75"/>
    <w:rsid w:val="0035631E"/>
    <w:rsid w:val="004F1814"/>
    <w:rsid w:val="00B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E311"/>
  <w15:chartTrackingRefBased/>
  <w15:docId w15:val="{946A5C08-7AC2-4A78-AACE-579B9AB4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7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75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B00B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0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2020-03-29T06:21:00Z</dcterms:created>
  <dcterms:modified xsi:type="dcterms:W3CDTF">2020-03-29T07:11:00Z</dcterms:modified>
</cp:coreProperties>
</file>